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0886378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5989276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4712669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6.105,37</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539202795"/>
                <w:tag w:val="goog_rdk_3"/>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Alpină 97.97%</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63681230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2.03%</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6.105,37</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80"/>
        <w:gridCol w:w="4620"/>
        <w:tblGridChange w:id="0">
          <w:tblGrid>
            <w:gridCol w:w="4380"/>
            <w:gridCol w:w="46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6809 Morimus asper funereus</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1213 Rana temporaria</w:t>
              <w:br w:type="textWrapping"/>
              <w:t xml:space="preserve">2001 Triturus montandoni</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1363 Felis silvestris</w:t>
              <w:br w:type="textWrapping"/>
              <w:t xml:space="preserve">1352* Canis lupus </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9">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B">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A311 Sylvia atricapilla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Valoarea conservativă a zonei este determinată direct de starea de conservare a habitatelor din aceste enclave forestiere și de rolul lor esențial ca refugiu, coridor ecologic și zonă de hrănire pentru speciile asociate ecosistemelor forestiere. </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Totodată, aceste păduri contribuie la stocarea carbonului, protecția solului și reglarea regimului hidrologic la nivel local și regional.</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F">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0">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1">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2">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3">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4">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5">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6">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8">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9">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A">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B">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C">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D">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F">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1">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2">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4">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8">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Î</w:t>
            </w:r>
            <w:r w:rsidDel="00000000" w:rsidR="00000000" w:rsidRPr="00000000">
              <w:rPr>
                <w:sz w:val="22"/>
                <w:szCs w:val="22"/>
                <w:rtl w:val="0"/>
              </w:rPr>
              <w:t xml:space="preserve">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C">
      <w:pPr>
        <w:rPr>
          <w:b w:val="1"/>
          <w:bCs w:val="1"/>
          <w:sz w:val="22"/>
          <w:szCs w:val="22"/>
        </w:rPr>
      </w:pPr>
      <w:r w:rsidDel="00000000" w:rsidR="00000000" w:rsidRPr="00000000">
        <w:rPr>
          <w:rtl w:val="0"/>
        </w:rPr>
      </w:r>
    </w:p>
    <w:p w:rsidR="00000000" w:rsidDel="00000000" w:rsidP="00000000" w:rsidRDefault="00000000" w:rsidRPr="00000000" w14:paraId="000000C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F">
      <w:pPr>
        <w:jc w:val="center"/>
        <w:rPr>
          <w:b w:val="1"/>
          <w:bCs w:val="1"/>
          <w:sz w:val="22"/>
          <w:szCs w:val="22"/>
        </w:rPr>
      </w:pPr>
      <w:r w:rsidDel="00000000" w:rsidR="00000000" w:rsidRPr="00000000">
        <w:rPr>
          <w:rtl w:val="0"/>
        </w:rPr>
      </w:r>
    </w:p>
    <w:p w:rsidR="00000000" w:rsidDel="00000000" w:rsidP="00000000" w:rsidRDefault="00000000" w:rsidRPr="00000000" w14:paraId="000000D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Suceava; 5 noiembrie 2024 – corespondență DS Suceava.</w:t>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22 ianuarie 2026 cu participarea factorilor interesați relevanți din județul Suceava. </w:t>
      </w:r>
    </w:p>
    <w:p w:rsidR="00000000" w:rsidDel="00000000" w:rsidP="00000000" w:rsidRDefault="00000000" w:rsidRPr="00000000" w14:paraId="000000D6">
      <w:pPr>
        <w:rPr>
          <w:b w:val="1"/>
          <w:bCs w:val="1"/>
          <w:sz w:val="22"/>
          <w:szCs w:val="22"/>
        </w:rPr>
      </w:pPr>
      <w:r w:rsidDel="00000000" w:rsidR="00000000" w:rsidRPr="00000000">
        <w:rPr>
          <w:rtl w:val="0"/>
        </w:rPr>
      </w:r>
    </w:p>
    <w:p w:rsidR="00000000" w:rsidDel="00000000" w:rsidP="00000000" w:rsidRDefault="00000000" w:rsidRPr="00000000" w14:paraId="000000D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JbAn68x4xMPb2shC/cIBn8K4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5Sl9lRVJBMWdRZDNqaHBENUJqSWstd0ctT2lhcktT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